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B3" w:rsidRPr="007F2B2A" w:rsidRDefault="00A818B3" w:rsidP="007F2B2A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z w:val="28"/>
          <w:szCs w:val="28"/>
          <w:lang w:eastAsia="ru-RU"/>
        </w:rPr>
      </w:pPr>
      <w:r w:rsidRPr="00A818B3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</w:t>
      </w:r>
      <w:r w:rsidRPr="007F2B2A">
        <w:rPr>
          <w:rFonts w:ascii="Times New Roman" w:eastAsia="Times New Roman" w:hAnsi="Times New Roman" w:cs="Times New Roman"/>
          <w:b/>
          <w:bCs/>
          <w:caps/>
          <w:color w:val="002060"/>
          <w:sz w:val="28"/>
          <w:szCs w:val="28"/>
          <w:lang w:eastAsia="ru-RU"/>
        </w:rPr>
        <w:t xml:space="preserve">Рекомендации  по  организации  </w:t>
      </w:r>
    </w:p>
    <w:p w:rsidR="00A818B3" w:rsidRPr="007F2B2A" w:rsidRDefault="00A818B3" w:rsidP="007F2B2A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z w:val="28"/>
          <w:szCs w:val="28"/>
          <w:lang w:eastAsia="ru-RU"/>
        </w:rPr>
      </w:pPr>
      <w:r w:rsidRPr="007F2B2A">
        <w:rPr>
          <w:rFonts w:ascii="Times New Roman" w:eastAsia="Times New Roman" w:hAnsi="Times New Roman" w:cs="Times New Roman"/>
          <w:b/>
          <w:bCs/>
          <w:caps/>
          <w:color w:val="002060"/>
          <w:sz w:val="28"/>
          <w:szCs w:val="28"/>
          <w:lang w:eastAsia="ru-RU"/>
        </w:rPr>
        <w:t>работы  с  детьми  с  нарушением  слуха</w:t>
      </w:r>
    </w:p>
    <w:p w:rsidR="007F2B2A" w:rsidRDefault="007D57BB" w:rsidP="007F2B2A">
      <w:pPr>
        <w:spacing w:after="0"/>
        <w:ind w:left="360"/>
        <w:jc w:val="center"/>
        <w:rPr>
          <w:rFonts w:ascii="Times New Roman" w:eastAsiaTheme="minorEastAsia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7D57BB">
        <w:rPr>
          <w:rFonts w:ascii="Times New Roman" w:eastAsiaTheme="minorEastAsia" w:hAnsi="Times New Roman" w:cs="Times New Roman"/>
          <w:b/>
          <w:bCs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9CFB8AC" wp14:editId="30EC916D">
            <wp:simplePos x="0" y="0"/>
            <wp:positionH relativeFrom="column">
              <wp:posOffset>1969135</wp:posOffset>
            </wp:positionH>
            <wp:positionV relativeFrom="paragraph">
              <wp:posOffset>191770</wp:posOffset>
            </wp:positionV>
            <wp:extent cx="2557780" cy="1997075"/>
            <wp:effectExtent l="19050" t="19050" r="13970" b="22225"/>
            <wp:wrapThrough wrapText="bothSides">
              <wp:wrapPolygon edited="0">
                <wp:start x="-161" y="-206"/>
                <wp:lineTo x="-161" y="21634"/>
                <wp:lineTo x="21557" y="21634"/>
                <wp:lineTo x="21557" y="-206"/>
                <wp:lineTo x="-161" y="-206"/>
              </wp:wrapPolygon>
            </wp:wrapThrough>
            <wp:docPr id="1126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19970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7BB" w:rsidRDefault="007D57BB" w:rsidP="007D57BB">
      <w:pPr>
        <w:spacing w:after="0"/>
        <w:ind w:left="36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7D57BB" w:rsidRDefault="007D57BB" w:rsidP="007D57BB">
      <w:pPr>
        <w:spacing w:after="0"/>
        <w:ind w:left="36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7D57BB" w:rsidRDefault="007D57BB" w:rsidP="007D57BB">
      <w:pPr>
        <w:spacing w:after="0"/>
        <w:ind w:left="36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7D57BB" w:rsidRDefault="007D57BB" w:rsidP="007D57BB">
      <w:pPr>
        <w:spacing w:after="0"/>
        <w:ind w:left="36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7D57BB" w:rsidRDefault="007D57BB" w:rsidP="007D57BB">
      <w:pPr>
        <w:spacing w:after="0"/>
        <w:ind w:left="36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bookmarkStart w:id="0" w:name="_GoBack"/>
      <w:bookmarkEnd w:id="0"/>
    </w:p>
    <w:p w:rsidR="007D57BB" w:rsidRDefault="007D57BB" w:rsidP="007D57BB">
      <w:pPr>
        <w:spacing w:after="0"/>
        <w:ind w:left="36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7D57BB" w:rsidRDefault="007D57BB" w:rsidP="007D57BB">
      <w:pPr>
        <w:spacing w:after="0"/>
        <w:ind w:left="36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7D57BB" w:rsidRDefault="007D57BB" w:rsidP="007D57BB">
      <w:pPr>
        <w:spacing w:after="0"/>
        <w:ind w:left="36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7D57BB" w:rsidRDefault="007D57BB" w:rsidP="007D57BB">
      <w:pPr>
        <w:spacing w:after="0"/>
        <w:ind w:left="36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7D57BB" w:rsidRPr="0084781E" w:rsidRDefault="007D57BB" w:rsidP="007D57BB">
      <w:pPr>
        <w:spacing w:after="0"/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84781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Особенности детей с нарушением 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слуха</w:t>
      </w:r>
    </w:p>
    <w:p w:rsidR="00000000" w:rsidRPr="007D57BB" w:rsidRDefault="000E7C45" w:rsidP="007D57B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D57B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Нарушение понимания устной речи.</w:t>
      </w:r>
    </w:p>
    <w:p w:rsidR="00000000" w:rsidRPr="007D57BB" w:rsidRDefault="000E7C45" w:rsidP="007D57B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D57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Использование жестов, считывание с губ. </w:t>
      </w:r>
    </w:p>
    <w:p w:rsidR="00000000" w:rsidRPr="007D57BB" w:rsidRDefault="000E7C45" w:rsidP="007D57B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D57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Искажённый характер устной речи (недостатки произношения слов, не совсем точное понимание и неправильное употребление слов, понятий). </w:t>
      </w:r>
    </w:p>
    <w:p w:rsidR="00000000" w:rsidRPr="007D57BB" w:rsidRDefault="000E7C45" w:rsidP="007D57B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D57BB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Замедленная словесная память.  Проце</w:t>
      </w:r>
      <w:r w:rsidRPr="007D57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сс запоминания базируется на </w:t>
      </w:r>
      <w:r w:rsidRPr="007D57BB">
        <w:rPr>
          <w:rFonts w:ascii="Times New Roman" w:eastAsiaTheme="minorEastAsia" w:hAnsi="Times New Roman" w:cs="Times New Roman"/>
          <w:sz w:val="28"/>
          <w:szCs w:val="28"/>
          <w:lang w:eastAsia="ru-RU"/>
        </w:rPr>
        <w:t>зрительных образах</w:t>
      </w:r>
      <w:r w:rsidRPr="007D57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а также двигательных, осязательных и тактильно-вибрационных ощущениях. </w:t>
      </w:r>
    </w:p>
    <w:p w:rsidR="00000000" w:rsidRPr="007D57BB" w:rsidRDefault="000E7C45" w:rsidP="007D57B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D57B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Нарушение координации движений и низкий уровень ориентации в пространстве.</w:t>
      </w:r>
    </w:p>
    <w:p w:rsidR="00000000" w:rsidRPr="007D57BB" w:rsidRDefault="000E7C45" w:rsidP="007D57B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D57B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Снижение интеллекта и задержка умственного развития.</w:t>
      </w:r>
    </w:p>
    <w:p w:rsidR="00000000" w:rsidRPr="007D57BB" w:rsidRDefault="000E7C45" w:rsidP="007D57B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D57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Замедленный  процесс усвоения информации и,  как  следствие, трудность в общении с окружающими людьми, что отражается на формировании личности. </w:t>
      </w:r>
    </w:p>
    <w:p w:rsidR="007D57BB" w:rsidRDefault="007D57BB" w:rsidP="007D57B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7D57BB" w:rsidRPr="007D57BB" w:rsidRDefault="007D57BB" w:rsidP="000E7C45">
      <w:pPr>
        <w:spacing w:after="120"/>
        <w:ind w:left="357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7D57B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ТРЕБОВАНИЯ К ОРГАНИЗАЦИИ </w:t>
      </w:r>
      <w:r w:rsidRPr="007D57BB">
        <w:rPr>
          <w:rFonts w:ascii="Times New Roman" w:eastAsia="Times New Roman" w:hAnsi="Times New Roman" w:cs="Times New Roman"/>
          <w:b/>
          <w:bCs/>
          <w:caps/>
          <w:color w:val="002060"/>
          <w:sz w:val="24"/>
          <w:szCs w:val="24"/>
        </w:rPr>
        <w:t xml:space="preserve">образовательного </w:t>
      </w:r>
      <w:r w:rsidRPr="007D57B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ПРОЦЕССА</w:t>
      </w:r>
    </w:p>
    <w:p w:rsidR="00A818B3" w:rsidRPr="007F2B2A" w:rsidRDefault="00A818B3" w:rsidP="000E7C45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Воспитанники</w:t>
      </w:r>
      <w:r w:rsid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должны</w:t>
      </w:r>
      <w:r w:rsid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сидеть</w:t>
      </w:r>
      <w:r w:rsid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r w:rsid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первым столом на</w:t>
      </w:r>
      <w:r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максимально </w:t>
      </w:r>
      <w:r w:rsid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близком </w:t>
      </w:r>
      <w:r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расстоянии</w:t>
      </w:r>
      <w:r w:rsid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воспитателя.</w:t>
      </w:r>
      <w:r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 этом  ребенок должен иметь возможность видеть всех</w:t>
      </w:r>
      <w:r w:rsid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</w:t>
      </w:r>
      <w:r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етей</w:t>
      </w:r>
      <w:r w:rsid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</w:t>
      </w:r>
      <w:r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того, чтобы</w:t>
      </w:r>
      <w:r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 их ответах видеть лицо говорящего, считывать речь у него с губ.</w:t>
      </w:r>
    </w:p>
    <w:p w:rsidR="00A818B3" w:rsidRPr="007F2B2A" w:rsidRDefault="00A818B3" w:rsidP="000E7C45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r w:rsid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должен </w:t>
      </w:r>
      <w:r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контролировать</w:t>
      </w:r>
      <w:r w:rsid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состояние </w:t>
      </w:r>
      <w:r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индивидуальных слуховых аппаратов</w:t>
      </w:r>
      <w:r w:rsid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воспитанника (проверять, чтобы</w:t>
      </w:r>
      <w:r w:rsid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аппарат</w:t>
      </w:r>
      <w:r w:rsid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работал,</w:t>
      </w:r>
      <w:r w:rsid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был</w:t>
      </w:r>
      <w:r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включён).</w:t>
      </w:r>
    </w:p>
    <w:p w:rsidR="00A818B3" w:rsidRPr="007F2B2A" w:rsidRDefault="00A818B3" w:rsidP="000E7C45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проведении</w:t>
      </w:r>
      <w:r w:rsidR="007F2B2A"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занятий воспитатель всё время должен </w:t>
      </w:r>
      <w:r w:rsidR="007F2B2A"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стоять</w:t>
      </w:r>
      <w:r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ближе</w:t>
      </w:r>
      <w:r w:rsidR="007F2B2A"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ребенку, повернувшись к нему</w:t>
      </w:r>
      <w:r w:rsidR="0032091D"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лицом. Нельзя</w:t>
      </w:r>
      <w:r w:rsidR="007F2B2A"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поворачиваться</w:t>
      </w:r>
      <w:r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боком или спиной при объяснении матер</w:t>
      </w:r>
      <w:r w:rsidR="0032091D"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иала, в</w:t>
      </w:r>
      <w:r w:rsidR="007F2B2A"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этом</w:t>
      </w:r>
      <w:r w:rsidR="0032091D"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случае ребенок </w:t>
      </w:r>
      <w:r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воспринимает речь  и не понимает,</w:t>
      </w:r>
      <w:r w:rsidR="0032091D"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чём он говорит педагог.</w:t>
      </w:r>
    </w:p>
    <w:p w:rsidR="00A818B3" w:rsidRPr="007F2B2A" w:rsidRDefault="00A818B3" w:rsidP="000E7C45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Речь педагога должна быть нормальной</w:t>
      </w:r>
      <w:r w:rsidR="007F2B2A"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разговорной</w:t>
      </w:r>
      <w:r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громкости,</w:t>
      </w:r>
      <w:r w:rsid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нормальном темпе, но не быстрой</w:t>
      </w:r>
      <w:r w:rsidR="0032091D"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818B3" w:rsidRPr="007F2B2A" w:rsidRDefault="00A818B3" w:rsidP="000E7C45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</w:t>
      </w:r>
      <w:r w:rsid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выполнении самостоятельных заданий педагог должен дополнительно уточнить правильно ли ребенок понял смысл предъявляемого задания, при затруднении объяснить в более лёгкой и доступной форме.</w:t>
      </w:r>
    </w:p>
    <w:p w:rsidR="00A818B3" w:rsidRPr="007F2B2A" w:rsidRDefault="00A818B3" w:rsidP="000E7C45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Максимально стимулировать устные ответы, даже если в них есть ошибки при словесном оформлении. Это стимулирует к</w:t>
      </w:r>
      <w:r w:rsid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стремлению в устном общении, вырабатывает положительное отношение к речи.</w:t>
      </w:r>
    </w:p>
    <w:p w:rsidR="00A818B3" w:rsidRPr="007F2B2A" w:rsidRDefault="007F2B2A" w:rsidP="000E7C45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Максимально</w:t>
      </w:r>
      <w:r w:rsidR="00A818B3"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привлекать ребенка к участию в мероприятиях группы и детского сада. Это способствует накоплению социального опыта.</w:t>
      </w:r>
    </w:p>
    <w:p w:rsidR="00A818B3" w:rsidRPr="007F2B2A" w:rsidRDefault="00A818B3" w:rsidP="000E7C45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Проявлять к воспитаннику</w:t>
      </w:r>
      <w:r w:rsidR="007D5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толерантное от</w:t>
      </w:r>
      <w:r w:rsidR="007D5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ношение,</w:t>
      </w:r>
      <w:r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оказывать ему всяческую поддержку, чтобы ребёнок чувствовал себя уверенно в своём</w:t>
      </w:r>
      <w:r w:rsidR="007D5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коллективе.</w:t>
      </w:r>
    </w:p>
    <w:p w:rsidR="007F2B2A" w:rsidRPr="007F2B2A" w:rsidRDefault="00A818B3" w:rsidP="000E7C45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Вести активное взаимодействие с семьёй в</w:t>
      </w:r>
      <w:r w:rsidR="007D5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процессе</w:t>
      </w:r>
      <w:r w:rsidRPr="007F2B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воспитания и обучения ребёнка.</w:t>
      </w:r>
    </w:p>
    <w:p w:rsidR="00F72BC8" w:rsidRDefault="00F72BC8" w:rsidP="000E7C45">
      <w:pPr>
        <w:spacing w:after="0" w:line="240" w:lineRule="auto"/>
        <w:jc w:val="both"/>
      </w:pPr>
    </w:p>
    <w:sectPr w:rsidR="00F72BC8" w:rsidSect="007F2B2A">
      <w:pgSz w:w="11906" w:h="16838"/>
      <w:pgMar w:top="851" w:right="851" w:bottom="851" w:left="851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1.25pt;height:11.25pt" o:bullet="t">
        <v:imagedata r:id="rId1" o:title="mso10A7"/>
      </v:shape>
    </w:pict>
  </w:numPicBullet>
  <w:abstractNum w:abstractNumId="0">
    <w:nsid w:val="07A91F41"/>
    <w:multiLevelType w:val="hybridMultilevel"/>
    <w:tmpl w:val="4F1A0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15F91"/>
    <w:multiLevelType w:val="hybridMultilevel"/>
    <w:tmpl w:val="315C0E2E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8C7B1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6CF7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162CC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1EB7E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7482E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FA572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B205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4A307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F602EF"/>
    <w:multiLevelType w:val="multilevel"/>
    <w:tmpl w:val="99946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C942BD"/>
    <w:multiLevelType w:val="hybridMultilevel"/>
    <w:tmpl w:val="F8BA7B72"/>
    <w:lvl w:ilvl="0" w:tplc="52D07F8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8C7B1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6CF7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162CC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1EB7E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7482E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FA572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B205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4A307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B3"/>
    <w:rsid w:val="000E7C45"/>
    <w:rsid w:val="0032091D"/>
    <w:rsid w:val="005F7BA2"/>
    <w:rsid w:val="007D312E"/>
    <w:rsid w:val="007D57BB"/>
    <w:rsid w:val="007F2B2A"/>
    <w:rsid w:val="00A818B3"/>
    <w:rsid w:val="00F7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8B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1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1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8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8B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1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1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7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46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72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37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1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3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09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83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Rina</cp:lastModifiedBy>
  <cp:revision>3</cp:revision>
  <dcterms:created xsi:type="dcterms:W3CDTF">2018-01-01T20:00:00Z</dcterms:created>
  <dcterms:modified xsi:type="dcterms:W3CDTF">2018-01-01T20:02:00Z</dcterms:modified>
</cp:coreProperties>
</file>